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Fonts w:ascii="Titillium Web SemiBold" w:cs="Titillium Web SemiBold" w:eastAsia="Titillium Web SemiBold" w:hAnsi="Titillium Web SemiBold"/>
          <w:sz w:val="72"/>
          <w:szCs w:val="72"/>
          <w:rtl w:val="0"/>
        </w:rPr>
        <w:t xml:space="preserve">LEAGUE OF LEGENDS</w:t>
      </w:r>
      <w:r w:rsidDel="00000000" w:rsidR="00000000" w:rsidRPr="00000000">
        <w:rPr>
          <w:rFonts w:ascii="Titillium Web SemiBold" w:cs="Titillium Web SemiBold" w:eastAsia="Titillium Web SemiBold" w:hAnsi="Titillium Web SemiBold"/>
          <w:color w:val="424242"/>
          <w:sz w:val="72"/>
          <w:szCs w:val="72"/>
          <w:rtl w:val="0"/>
        </w:rPr>
        <w:t xml:space="preserve"> OFFICIAL RULES</w:t>
      </w:r>
    </w:p>
    <w:p w:rsidR="00000000" w:rsidDel="00000000" w:rsidP="00000000" w:rsidRDefault="00000000" w:rsidRPr="00000000" w14:paraId="00000003">
      <w:pPr>
        <w:pageBreakBefore w:val="0"/>
        <w:spacing w:before="20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In order for the tournaments to run fairly and smoothly we have issued the following rule book</w:t>
      </w:r>
    </w:p>
    <w:p w:rsidR="00000000" w:rsidDel="00000000" w:rsidP="00000000" w:rsidRDefault="00000000" w:rsidRPr="00000000" w14:paraId="00000006">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rFonts w:ascii="Titillium Web SemiBold" w:cs="Titillium Web SemiBold" w:eastAsia="Titillium Web SemiBold" w:hAnsi="Titillium Web SemiBold"/>
          <w:color w:val="ff1577"/>
          <w:sz w:val="36"/>
          <w:szCs w:val="36"/>
        </w:rPr>
      </w:pPr>
      <w:bookmarkStart w:colFirst="0" w:colLast="0" w:name="_s5gru31cj8ow" w:id="3"/>
      <w:bookmarkEnd w:id="3"/>
      <w:r w:rsidDel="00000000" w:rsidR="00000000" w:rsidRPr="00000000">
        <w:rPr>
          <w:rFonts w:ascii="Titillium Web SemiBold" w:cs="Titillium Web SemiBold" w:eastAsia="Titillium Web SemiBold" w:hAnsi="Titillium Web SemiBold"/>
          <w:color w:val="424242"/>
          <w:sz w:val="36"/>
          <w:szCs w:val="36"/>
          <w:rtl w:val="0"/>
        </w:rPr>
        <w:t xml:space="preserve">CONTENTS</w:t>
      </w:r>
      <w:r w:rsidDel="00000000" w:rsidR="00000000" w:rsidRPr="00000000">
        <w:rPr>
          <w:rtl w:val="0"/>
        </w:rPr>
      </w:r>
    </w:p>
    <w:p w:rsidR="00000000" w:rsidDel="00000000" w:rsidP="00000000" w:rsidRDefault="00000000" w:rsidRPr="00000000" w14:paraId="00000009">
      <w:pPr>
        <w:pageBreakBefore w:val="0"/>
        <w:numPr>
          <w:ilvl w:val="0"/>
          <w:numId w:val="2"/>
        </w:numPr>
        <w:spacing w:before="200" w:lineRule="auto"/>
        <w:ind w:left="720" w:hanging="360"/>
        <w:rPr>
          <w:rFonts w:ascii="Titillium Web" w:cs="Titillium Web" w:eastAsia="Titillium Web" w:hAnsi="Titillium Web"/>
          <w:color w:val="323737"/>
        </w:rPr>
      </w:pPr>
      <w:hyperlink w:anchor="_2lqaxtlmo67a">
        <w:r w:rsidDel="00000000" w:rsidR="00000000" w:rsidRPr="00000000">
          <w:rPr>
            <w:rFonts w:ascii="Titillium Web" w:cs="Titillium Web" w:eastAsia="Titillium Web" w:hAnsi="Titillium Web"/>
            <w:color w:val="323737"/>
            <w:u w:val="single"/>
            <w:rtl w:val="0"/>
          </w:rPr>
          <w:t xml:space="preserve">Individual Eligibility and Team Rules  </w:t>
        </w:r>
      </w:hyperlink>
      <w:r w:rsidDel="00000000" w:rsidR="00000000" w:rsidRPr="00000000">
        <w:rPr>
          <w:rtl w:val="0"/>
        </w:rPr>
      </w:r>
    </w:p>
    <w:p w:rsidR="00000000" w:rsidDel="00000000" w:rsidP="00000000" w:rsidRDefault="00000000" w:rsidRPr="00000000" w14:paraId="0000000A">
      <w:pPr>
        <w:pageBreakBefore w:val="0"/>
        <w:numPr>
          <w:ilvl w:val="0"/>
          <w:numId w:val="2"/>
        </w:numPr>
        <w:spacing w:before="200" w:lineRule="auto"/>
        <w:ind w:left="720" w:hanging="360"/>
        <w:rPr>
          <w:rFonts w:ascii="Titillium Web" w:cs="Titillium Web" w:eastAsia="Titillium Web" w:hAnsi="Titillium Web"/>
          <w:color w:val="323737"/>
        </w:rPr>
      </w:pPr>
      <w:hyperlink w:anchor="_mp26tlhcimox">
        <w:r w:rsidDel="00000000" w:rsidR="00000000" w:rsidRPr="00000000">
          <w:rPr>
            <w:rFonts w:ascii="Titillium Web" w:cs="Titillium Web" w:eastAsia="Titillium Web" w:hAnsi="Titillium Web"/>
            <w:color w:val="323737"/>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2"/>
        </w:numPr>
        <w:spacing w:before="200" w:lineRule="auto"/>
        <w:ind w:left="720" w:hanging="360"/>
        <w:rPr>
          <w:rFonts w:ascii="Titillium Web" w:cs="Titillium Web" w:eastAsia="Titillium Web" w:hAnsi="Titillium Web"/>
          <w:color w:val="323737"/>
        </w:rPr>
      </w:pPr>
      <w:hyperlink w:anchor="_ualntuhv4kri">
        <w:r w:rsidDel="00000000" w:rsidR="00000000" w:rsidRPr="00000000">
          <w:rPr>
            <w:rFonts w:ascii="Titillium Web" w:cs="Titillium Web" w:eastAsia="Titillium Web" w:hAnsi="Titillium Web"/>
            <w:color w:val="323737"/>
            <w:u w:val="single"/>
            <w:rtl w:val="0"/>
          </w:rPr>
          <w:t xml:space="preserve">Spectator Rules</w:t>
        </w:r>
      </w:hyperlink>
      <w:r w:rsidDel="00000000" w:rsidR="00000000" w:rsidRPr="00000000">
        <w:rPr>
          <w:rtl w:val="0"/>
        </w:rPr>
      </w:r>
    </w:p>
    <w:p w:rsidR="00000000" w:rsidDel="00000000" w:rsidP="00000000" w:rsidRDefault="00000000" w:rsidRPr="00000000" w14:paraId="0000000C">
      <w:pPr>
        <w:pageBreakBefore w:val="0"/>
        <w:numPr>
          <w:ilvl w:val="0"/>
          <w:numId w:val="2"/>
        </w:numPr>
        <w:spacing w:before="200" w:lineRule="auto"/>
        <w:ind w:left="720" w:hanging="360"/>
        <w:rPr>
          <w:rFonts w:ascii="Titillium Web" w:cs="Titillium Web" w:eastAsia="Titillium Web" w:hAnsi="Titillium Web"/>
          <w:color w:val="323737"/>
        </w:rPr>
      </w:pPr>
      <w:hyperlink w:anchor="_5468de1iuc9p">
        <w:r w:rsidDel="00000000" w:rsidR="00000000" w:rsidRPr="00000000">
          <w:rPr>
            <w:rFonts w:ascii="Titillium Web" w:cs="Titillium Web" w:eastAsia="Titillium Web" w:hAnsi="Titillium Web"/>
            <w:color w:val="323737"/>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2"/>
        </w:numPr>
        <w:spacing w:before="200" w:lineRule="auto"/>
        <w:ind w:left="720" w:hanging="360"/>
        <w:rPr>
          <w:rFonts w:ascii="Titillium Web" w:cs="Titillium Web" w:eastAsia="Titillium Web" w:hAnsi="Titillium Web"/>
          <w:color w:val="323737"/>
        </w:rPr>
      </w:pPr>
      <w:hyperlink w:anchor="_d4bu16vn7ubf">
        <w:r w:rsidDel="00000000" w:rsidR="00000000" w:rsidRPr="00000000">
          <w:rPr>
            <w:rFonts w:ascii="Titillium Web" w:cs="Titillium Web" w:eastAsia="Titillium Web" w:hAnsi="Titillium Web"/>
            <w:color w:val="323737"/>
            <w:u w:val="single"/>
            <w:rtl w:val="0"/>
          </w:rPr>
          <w:t xml:space="preserve">Live Event Rules</w:t>
        </w:r>
      </w:hyperlink>
      <w:r w:rsidDel="00000000" w:rsidR="00000000" w:rsidRPr="00000000">
        <w:rPr>
          <w:rtl w:val="0"/>
        </w:rPr>
      </w:r>
    </w:p>
    <w:p w:rsidR="00000000" w:rsidDel="00000000" w:rsidP="00000000" w:rsidRDefault="00000000" w:rsidRPr="00000000" w14:paraId="0000000E">
      <w:pPr>
        <w:pageBreakBefore w:val="0"/>
        <w:numPr>
          <w:ilvl w:val="0"/>
          <w:numId w:val="2"/>
        </w:numPr>
        <w:spacing w:before="200" w:lineRule="auto"/>
        <w:ind w:left="720" w:hanging="360"/>
        <w:rPr>
          <w:rFonts w:ascii="Titillium Web" w:cs="Titillium Web" w:eastAsia="Titillium Web" w:hAnsi="Titillium Web"/>
          <w:color w:val="323737"/>
        </w:rPr>
      </w:pPr>
      <w:hyperlink w:anchor="_5jln522u2n2a">
        <w:r w:rsidDel="00000000" w:rsidR="00000000" w:rsidRPr="00000000">
          <w:rPr>
            <w:rFonts w:ascii="Titillium Web" w:cs="Titillium Web" w:eastAsia="Titillium Web" w:hAnsi="Titillium Web"/>
            <w:color w:val="323737"/>
            <w:u w:val="single"/>
            <w:rtl w:val="0"/>
          </w:rPr>
          <w:t xml:space="preserve">Prizes</w:t>
        </w:r>
      </w:hyperlink>
      <w:r w:rsidDel="00000000" w:rsidR="00000000" w:rsidRPr="00000000">
        <w:rPr>
          <w:rtl w:val="0"/>
        </w:rPr>
      </w:r>
    </w:p>
    <w:p w:rsidR="00000000" w:rsidDel="00000000" w:rsidP="00000000" w:rsidRDefault="00000000" w:rsidRPr="00000000" w14:paraId="0000000F">
      <w:pPr>
        <w:pageBreakBefore w:val="0"/>
        <w:numPr>
          <w:ilvl w:val="0"/>
          <w:numId w:val="2"/>
        </w:numPr>
        <w:spacing w:before="200" w:lineRule="auto"/>
        <w:ind w:left="720" w:hanging="360"/>
        <w:rPr>
          <w:rFonts w:ascii="Titillium Web" w:cs="Titillium Web" w:eastAsia="Titillium Web" w:hAnsi="Titillium Web"/>
          <w:color w:val="323737"/>
        </w:rPr>
      </w:pPr>
      <w:hyperlink w:anchor="_o23acrsur5lb">
        <w:r w:rsidDel="00000000" w:rsidR="00000000" w:rsidRPr="00000000">
          <w:rPr>
            <w:rFonts w:ascii="Titillium Web" w:cs="Titillium Web" w:eastAsia="Titillium Web" w:hAnsi="Titillium Web"/>
            <w:color w:val="323737"/>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pageBreakBefore w:val="0"/>
        <w:spacing w:before="200" w:lineRule="auto"/>
        <w:rPr>
          <w:rFonts w:ascii="Titillium Web" w:cs="Titillium Web" w:eastAsia="Titillium Web" w:hAnsi="Titillium Web"/>
          <w:color w:val="424242"/>
          <w:highlight w:val="white"/>
        </w:rPr>
      </w:pPr>
      <w:r w:rsidDel="00000000" w:rsidR="00000000" w:rsidRPr="00000000">
        <w:rPr>
          <w:rtl w:val="0"/>
        </w:rPr>
      </w:r>
    </w:p>
    <w:p w:rsidR="00000000" w:rsidDel="00000000" w:rsidP="00000000" w:rsidRDefault="00000000" w:rsidRPr="00000000" w14:paraId="00000011">
      <w:pPr>
        <w:pageBreakBefore w:val="0"/>
        <w:spacing w:before="200" w:lineRule="auto"/>
        <w:rPr>
          <w:rFonts w:ascii="Titillium Web" w:cs="Titillium Web" w:eastAsia="Titillium Web" w:hAnsi="Titillium Web"/>
          <w:color w:val="42424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numPr>
          <w:ilvl w:val="0"/>
          <w:numId w:val="3"/>
        </w:numPr>
        <w:spacing w:after="0" w:afterAutospacing="0"/>
        <w:rPr>
          <w:rFonts w:ascii="Titillium Web SemiBold" w:cs="Titillium Web SemiBold" w:eastAsia="Titillium Web SemiBold" w:hAnsi="Titillium Web SemiBold"/>
          <w:color w:val="424242"/>
          <w:sz w:val="36"/>
          <w:szCs w:val="36"/>
        </w:rPr>
      </w:pPr>
      <w:bookmarkStart w:colFirst="0" w:colLast="0" w:name="_2lqaxtlmo67a" w:id="4"/>
      <w:bookmarkEnd w:id="4"/>
      <w:r w:rsidDel="00000000" w:rsidR="00000000" w:rsidRPr="00000000">
        <w:rPr>
          <w:rtl w:val="0"/>
        </w:rPr>
        <w:t xml:space="preserve">Individual Eligibility and Team Rules </w:t>
      </w:r>
    </w:p>
    <w:p w:rsidR="00000000" w:rsidDel="00000000" w:rsidP="00000000" w:rsidRDefault="00000000" w:rsidRPr="00000000" w14:paraId="00000013">
      <w:pPr>
        <w:pStyle w:val="Heading2"/>
        <w:pageBreakBefore w:val="0"/>
        <w:numPr>
          <w:ilvl w:val="1"/>
          <w:numId w:val="3"/>
        </w:numPr>
        <w:spacing w:after="0" w:before="0" w:beforeAutospacing="0" w:lineRule="auto"/>
        <w:ind w:left="1440" w:hanging="360"/>
        <w:rPr>
          <w:rFonts w:ascii="Titillium Web SemiBold" w:cs="Titillium Web SemiBold" w:eastAsia="Titillium Web SemiBold" w:hAnsi="Titillium Web SemiBold"/>
          <w:color w:val="424242"/>
          <w:sz w:val="24"/>
          <w:szCs w:val="24"/>
        </w:rPr>
      </w:pPr>
      <w:bookmarkStart w:colFirst="0" w:colLast="0" w:name="_bhpkhgswp0cb" w:id="5"/>
      <w:bookmarkEnd w:id="5"/>
      <w:r w:rsidDel="00000000" w:rsidR="00000000" w:rsidRPr="00000000">
        <w:rPr>
          <w:rFonts w:ascii="Titillium Web SemiBold" w:cs="Titillium Web SemiBold" w:eastAsia="Titillium Web SemiBold" w:hAnsi="Titillium Web SemiBold"/>
          <w:color w:val="424242"/>
          <w:sz w:val="24"/>
          <w:szCs w:val="24"/>
          <w:rtl w:val="0"/>
        </w:rPr>
        <w:t xml:space="preserve">Institution Eligibility</w:t>
      </w:r>
      <w:r w:rsidDel="00000000" w:rsidR="00000000" w:rsidRPr="00000000">
        <w:rPr>
          <w:rtl w:val="0"/>
        </w:rPr>
      </w:r>
    </w:p>
    <w:p w:rsidR="00000000" w:rsidDel="00000000" w:rsidP="00000000" w:rsidRDefault="00000000" w:rsidRPr="00000000" w14:paraId="00000014">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w:t>
      </w:r>
      <w:r w:rsidDel="00000000" w:rsidR="00000000" w:rsidRPr="00000000">
        <w:rPr>
          <w:rFonts w:ascii="Titillium Web" w:cs="Titillium Web" w:eastAsia="Titillium Web" w:hAnsi="Titillium Web"/>
          <w:rtl w:val="0"/>
        </w:rPr>
        <w:t xml:space="preserve">the</w:t>
      </w:r>
      <w:r w:rsidDel="00000000" w:rsidR="00000000" w:rsidRPr="00000000">
        <w:rPr>
          <w:rFonts w:ascii="Titillium Web" w:cs="Titillium Web" w:eastAsia="Titillium Web" w:hAnsi="Titillium Web"/>
          <w:rtl w:val="0"/>
        </w:rPr>
        <w:t xml:space="preserve"> League of Legends NSE </w:t>
      </w:r>
      <w:r w:rsidDel="00000000" w:rsidR="00000000" w:rsidRPr="00000000">
        <w:rPr>
          <w:rtl w:val="0"/>
        </w:rPr>
        <w:t xml:space="preserve">Winter</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5">
      <w:pPr>
        <w:pageBreakBefore w:val="0"/>
        <w:numPr>
          <w:ilvl w:val="2"/>
          <w:numId w:val="4"/>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w:t>
      </w:r>
      <w:r w:rsidDel="00000000" w:rsidR="00000000" w:rsidRPr="00000000">
        <w:rPr>
          <w:rFonts w:ascii="Titillium Web" w:cs="Titillium Web" w:eastAsia="Titillium Web" w:hAnsi="Titillium Web"/>
          <w:highlight w:val="white"/>
          <w:rtl w:val="0"/>
        </w:rPr>
        <w:t xml:space="preserve"> one</w:t>
      </w:r>
      <w:r w:rsidDel="00000000" w:rsidR="00000000" w:rsidRPr="00000000">
        <w:rPr>
          <w:rFonts w:ascii="Titillium Web" w:cs="Titillium Web" w:eastAsia="Titillium Web" w:hAnsi="Titillium Web"/>
          <w:highlight w:val="white"/>
          <w:rtl w:val="0"/>
        </w:rPr>
        <w:t xml:space="preserve"> entity.</w:t>
      </w:r>
    </w:p>
    <w:p w:rsidR="00000000" w:rsidDel="00000000" w:rsidP="00000000" w:rsidRDefault="00000000" w:rsidRPr="00000000" w14:paraId="00000016">
      <w:pPr>
        <w:pageBreakBefore w:val="0"/>
        <w:numPr>
          <w:ilvl w:val="2"/>
          <w:numId w:val="4"/>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7">
      <w:pPr>
        <w:pageBreakBefore w:val="0"/>
        <w:numPr>
          <w:ilvl w:val="2"/>
          <w:numId w:val="4"/>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are playing as 1 entity regardless of geographical spread/campuses, etc. (Similar to 1. Main Campus)</w:t>
      </w:r>
    </w:p>
    <w:p w:rsidR="00000000" w:rsidDel="00000000" w:rsidP="00000000" w:rsidRDefault="00000000" w:rsidRPr="00000000" w14:paraId="00000018">
      <w:pPr>
        <w:pageBreakBefore w:val="0"/>
        <w:numPr>
          <w:ilvl w:val="2"/>
          <w:numId w:val="4"/>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9">
      <w:pPr>
        <w:pageBreakBefore w:val="0"/>
        <w:numPr>
          <w:ilvl w:val="2"/>
          <w:numId w:val="4"/>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rFonts w:ascii="Titillium Web" w:cs="Titillium Web" w:eastAsia="Titillium Web" w:hAnsi="Titillium Web"/>
          <w:highlight w:val="white"/>
          <w:rtl w:val="0"/>
        </w:rPr>
        <w:t xml:space="preserve">comprised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A">
      <w:pPr>
        <w:pageBreakBefore w:val="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ab/>
        <w:tab/>
        <w:t xml:space="preserve">Full list of playing entities can be found in Appendix A</w:t>
      </w:r>
      <w:r w:rsidDel="00000000" w:rsidR="00000000" w:rsidRPr="00000000">
        <w:rPr>
          <w:rtl w:val="0"/>
        </w:rPr>
      </w:r>
    </w:p>
    <w:p w:rsidR="00000000" w:rsidDel="00000000" w:rsidP="00000000" w:rsidRDefault="00000000" w:rsidRPr="00000000" w14:paraId="0000001B">
      <w:pPr>
        <w:pStyle w:val="Heading2"/>
        <w:pageBreakBefore w:val="0"/>
        <w:numPr>
          <w:ilvl w:val="1"/>
          <w:numId w:val="4"/>
        </w:numPr>
        <w:spacing w:after="0" w:afterAutospacing="0"/>
        <w:ind w:left="1440" w:hanging="360"/>
        <w:rPr/>
      </w:pPr>
      <w:bookmarkStart w:colFirst="0" w:colLast="0" w:name="_w3y96g2jpwx3" w:id="6"/>
      <w:bookmarkEnd w:id="6"/>
      <w:r w:rsidDel="00000000" w:rsidR="00000000" w:rsidRPr="00000000">
        <w:rPr>
          <w:rtl w:val="0"/>
        </w:rPr>
        <w:t xml:space="preserve">Player Eligibility</w:t>
      </w:r>
    </w:p>
    <w:p w:rsidR="00000000" w:rsidDel="00000000" w:rsidP="00000000" w:rsidRDefault="00000000" w:rsidRPr="00000000" w14:paraId="0000001C">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League of Legends NSE </w:t>
      </w:r>
      <w:r w:rsidDel="00000000" w:rsidR="00000000" w:rsidRPr="00000000">
        <w:rPr>
          <w:rtl w:val="0"/>
        </w:rPr>
        <w:t xml:space="preserve">Winter</w:t>
      </w:r>
      <w:r w:rsidDel="00000000" w:rsidR="00000000" w:rsidRPr="00000000">
        <w:rPr>
          <w:rFonts w:ascii="Titillium Web" w:cs="Titillium Web" w:eastAsia="Titillium Web" w:hAnsi="Titillium Web"/>
          <w:rtl w:val="0"/>
        </w:rPr>
        <w:t xml:space="preserve"> they mus</w:t>
      </w:r>
      <w:r w:rsidDel="00000000" w:rsidR="00000000" w:rsidRPr="00000000">
        <w:rPr>
          <w:rtl w:val="0"/>
        </w:rPr>
        <w:t xml:space="preserve">t</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1D">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NSE </w:t>
      </w:r>
      <w:r w:rsidDel="00000000" w:rsidR="00000000" w:rsidRPr="00000000">
        <w:rPr>
          <w:rtl w:val="0"/>
        </w:rPr>
        <w:t xml:space="preserve">Winter</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1E">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F">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Be undertaking a study programme equivalent to at least 50% of a full time student (60 credits per year)</w:t>
      </w:r>
      <w:r w:rsidDel="00000000" w:rsidR="00000000" w:rsidRPr="00000000">
        <w:rPr>
          <w:rtl w:val="0"/>
        </w:rPr>
      </w:r>
    </w:p>
    <w:p w:rsidR="00000000" w:rsidDel="00000000" w:rsidP="00000000" w:rsidRDefault="00000000" w:rsidRPr="00000000" w14:paraId="00000020">
      <w:pPr>
        <w:pageBreakBefore w:val="0"/>
        <w:numPr>
          <w:ilvl w:val="4"/>
          <w:numId w:val="4"/>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r w:rsidDel="00000000" w:rsidR="00000000" w:rsidRPr="00000000">
        <w:rPr>
          <w:rtl w:val="0"/>
        </w:rPr>
      </w:r>
    </w:p>
    <w:p w:rsidR="00000000" w:rsidDel="00000000" w:rsidP="00000000" w:rsidRDefault="00000000" w:rsidRPr="00000000" w14:paraId="00000021">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2">
      <w:pPr>
        <w:pageBreakBefore w:val="0"/>
        <w:numPr>
          <w:ilvl w:val="4"/>
          <w:numId w:val="4"/>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r w:rsidDel="00000000" w:rsidR="00000000" w:rsidRPr="00000000">
        <w:rPr>
          <w:rtl w:val="0"/>
        </w:rPr>
      </w:r>
    </w:p>
    <w:p w:rsidR="00000000" w:rsidDel="00000000" w:rsidP="00000000" w:rsidRDefault="00000000" w:rsidRPr="00000000" w14:paraId="00000023">
      <w:pPr>
        <w:numPr>
          <w:ilvl w:val="3"/>
          <w:numId w:val="1"/>
        </w:numPr>
        <w:spacing w:after="0" w:afterAutospacing="0" w:before="0" w:beforeAutospacing="0"/>
        <w:ind w:left="2880" w:hanging="360"/>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4">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a EUW league of legends account associated with their </w:t>
      </w:r>
      <w:hyperlink r:id="rId10">
        <w:r w:rsidDel="00000000" w:rsidR="00000000" w:rsidRPr="00000000">
          <w:rPr>
            <w:rFonts w:ascii="Titillium Web" w:cs="Titillium Web" w:eastAsia="Titillium Web" w:hAnsi="Titillium Web"/>
            <w:color w:val="1155cc"/>
            <w:u w:val="single"/>
            <w:rtl w:val="0"/>
          </w:rPr>
          <w:t xml:space="preserve">www.nse.gg</w:t>
        </w:r>
      </w:hyperlink>
      <w:r w:rsidDel="00000000" w:rsidR="00000000" w:rsidRPr="00000000">
        <w:rPr>
          <w:rFonts w:ascii="Titillium Web" w:cs="Titillium Web" w:eastAsia="Titillium Web" w:hAnsi="Titillium Web"/>
          <w:rtl w:val="0"/>
        </w:rPr>
        <w:t xml:space="preserve"> account. </w:t>
      </w:r>
    </w:p>
    <w:p w:rsidR="00000000" w:rsidDel="00000000" w:rsidP="00000000" w:rsidRDefault="00000000" w:rsidRPr="00000000" w14:paraId="00000025">
      <w:pPr>
        <w:pageBreakBefore w:val="0"/>
        <w:numPr>
          <w:ilvl w:val="4"/>
          <w:numId w:val="4"/>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Their League of Legends account must have at least 20 available Champions.</w:t>
        <w:tab/>
      </w:r>
    </w:p>
    <w:p w:rsidR="00000000" w:rsidDel="00000000" w:rsidP="00000000" w:rsidRDefault="00000000" w:rsidRPr="00000000" w14:paraId="00000026">
      <w:pPr>
        <w:pageBreakBefore w:val="0"/>
        <w:numPr>
          <w:ilvl w:val="4"/>
          <w:numId w:val="4"/>
        </w:numPr>
        <w:spacing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Offensive Summoner names are not allowed. Whether an account name is considered offensive is at the sole discretion of the NSE Admin Team.</w:t>
      </w:r>
    </w:p>
    <w:p w:rsidR="00000000" w:rsidDel="00000000" w:rsidP="00000000" w:rsidRDefault="00000000" w:rsidRPr="00000000" w14:paraId="00000027">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spacing w:after="0" w:afterAutospacing="0" w:before="0" w:line="276" w:lineRule="auto"/>
        <w:ind w:left="360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Summoner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8">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Ineligible Participants </w:t>
      </w:r>
    </w:p>
    <w:p w:rsidR="00000000" w:rsidDel="00000000" w:rsidP="00000000" w:rsidRDefault="00000000" w:rsidRPr="00000000" w14:paraId="00000029">
      <w:pPr>
        <w:pageBreakBefore w:val="0"/>
        <w:ind w:left="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A">
      <w:pPr>
        <w:pageBreakBefore w:val="0"/>
        <w:numPr>
          <w:ilvl w:val="3"/>
          <w:numId w:val="4"/>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League of Legends. Students who work with NSE in some other capacity e.g. casters or Admin team for non-League of Legends games may still compete.</w:t>
      </w:r>
    </w:p>
    <w:p w:rsidR="00000000" w:rsidDel="00000000" w:rsidP="00000000" w:rsidRDefault="00000000" w:rsidRPr="00000000" w14:paraId="0000002B">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w:t>
      </w:r>
      <w:r w:rsidDel="00000000" w:rsidR="00000000" w:rsidRPr="00000000">
        <w:rPr>
          <w:rFonts w:ascii="Titillium Web" w:cs="Titillium Web" w:eastAsia="Titillium Web" w:hAnsi="Titillium Web"/>
          <w:rtl w:val="0"/>
        </w:rPr>
        <w:t xml:space="preserve">ed students, </w:t>
      </w:r>
      <w:r w:rsidDel="00000000" w:rsidR="00000000" w:rsidRPr="00000000">
        <w:rPr>
          <w:rFonts w:ascii="Titillium Web" w:cs="Titillium Web" w:eastAsia="Titillium Web" w:hAnsi="Titillium Web"/>
          <w:rtl w:val="0"/>
        </w:rPr>
        <w:t xml:space="preserve">as determined by the University’s Registrar, unless otherwise allowed in accordan</w:t>
      </w:r>
      <w:r w:rsidDel="00000000" w:rsidR="00000000" w:rsidRPr="00000000">
        <w:rPr>
          <w:rFonts w:ascii="Titillium Web" w:cs="Titillium Web" w:eastAsia="Titillium Web" w:hAnsi="Titillium Web"/>
          <w:rtl w:val="0"/>
        </w:rPr>
        <w:t xml:space="preserve">ce with the playing entities being used by the institutions concerned.</w:t>
      </w:r>
    </w:p>
    <w:p w:rsidR="00000000" w:rsidDel="00000000" w:rsidP="00000000" w:rsidRDefault="00000000" w:rsidRPr="00000000" w14:paraId="0000002C">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D">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E">
      <w:pPr>
        <w:pageBreakBefore w:val="0"/>
        <w:numPr>
          <w:ilvl w:val="3"/>
          <w:numId w:val="4"/>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full time basis will be eligible to compete provided that their institution classifies them as a registered student.</w:t>
      </w:r>
    </w:p>
    <w:p w:rsidR="00000000" w:rsidDel="00000000" w:rsidP="00000000" w:rsidRDefault="00000000" w:rsidRPr="00000000" w14:paraId="00000030">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31">
      <w:pPr>
        <w:pStyle w:val="Heading2"/>
        <w:pageBreakBefore w:val="0"/>
        <w:numPr>
          <w:ilvl w:val="1"/>
          <w:numId w:val="4"/>
        </w:numPr>
        <w:spacing w:after="0" w:afterAutospacing="0" w:before="0" w:beforeAutospacing="0"/>
        <w:ind w:left="1440" w:hanging="360"/>
        <w:rPr/>
      </w:pPr>
      <w:bookmarkStart w:colFirst="0" w:colLast="0" w:name="_aevddd7vj7z4" w:id="7"/>
      <w:bookmarkEnd w:id="7"/>
      <w:r w:rsidDel="00000000" w:rsidR="00000000" w:rsidRPr="00000000">
        <w:rPr>
          <w:rtl w:val="0"/>
        </w:rPr>
        <w:t xml:space="preserve"> Team Rules</w:t>
      </w:r>
    </w:p>
    <w:p w:rsidR="00000000" w:rsidDel="00000000" w:rsidP="00000000" w:rsidRDefault="00000000" w:rsidRPr="00000000" w14:paraId="00000032">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3">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4">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rosters must consist of at least 5 students.</w:t>
      </w:r>
    </w:p>
    <w:p w:rsidR="00000000" w:rsidDel="00000000" w:rsidP="00000000" w:rsidRDefault="00000000" w:rsidRPr="00000000" w14:paraId="00000035">
      <w:pPr>
        <w:pageBreakBefore w:val="0"/>
        <w:numPr>
          <w:ilvl w:val="3"/>
          <w:numId w:val="4"/>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color w:val="000000"/>
          <w:shd w:fill="auto" w:val="clear"/>
          <w:vertAlign w:val="baseline"/>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7">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In a bo3 or bo5 match teams may substitute players between games.</w:t>
      </w:r>
    </w:p>
    <w:p w:rsidR="00000000" w:rsidDel="00000000" w:rsidP="00000000" w:rsidRDefault="00000000" w:rsidRPr="00000000" w14:paraId="00000038">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9">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p>
    <w:p w:rsidR="00000000" w:rsidDel="00000000" w:rsidP="00000000" w:rsidRDefault="00000000" w:rsidRPr="00000000" w14:paraId="0000003A">
      <w:pPr>
        <w:pageBreakBefore w:val="0"/>
        <w:numPr>
          <w:ilvl w:val="3"/>
          <w:numId w:val="4"/>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time if it does not cause a delay to games starting.</w:t>
      </w:r>
    </w:p>
    <w:p w:rsidR="00000000" w:rsidDel="00000000" w:rsidP="00000000" w:rsidRDefault="00000000" w:rsidRPr="00000000" w14:paraId="0000003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color w:val="000000"/>
          <w:shd w:fill="auto" w:val="clear"/>
          <w:vertAlign w:val="baseline"/>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C">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3D">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seeding,qualification spots or points earnt. If there is no new majority team no team inherits seeding,qualification spots or points earnt.</w:t>
      </w:r>
    </w:p>
    <w:p w:rsidR="00000000" w:rsidDel="00000000" w:rsidP="00000000" w:rsidRDefault="00000000" w:rsidRPr="00000000" w14:paraId="0000003E">
      <w:pPr>
        <w:pStyle w:val="Heading2"/>
        <w:pageBreakBefore w:val="0"/>
        <w:numPr>
          <w:ilvl w:val="1"/>
          <w:numId w:val="4"/>
        </w:numPr>
        <w:spacing w:after="0" w:afterAutospacing="0" w:before="0" w:beforeAutospacing="0"/>
        <w:ind w:left="1440" w:hanging="360"/>
        <w:rPr/>
      </w:pPr>
      <w:bookmarkStart w:colFirst="0" w:colLast="0" w:name="_lll8gmejl9l" w:id="8"/>
      <w:bookmarkEnd w:id="8"/>
      <w:r w:rsidDel="00000000" w:rsidR="00000000" w:rsidRPr="00000000">
        <w:rPr>
          <w:rtl w:val="0"/>
        </w:rPr>
        <w:t xml:space="preserve">Check in</w:t>
      </w:r>
    </w:p>
    <w:p w:rsidR="00000000" w:rsidDel="00000000" w:rsidP="00000000" w:rsidRDefault="00000000" w:rsidRPr="00000000" w14:paraId="0000003F">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check in is required the deadline will be at 6:30pm on match day.</w:t>
      </w:r>
    </w:p>
    <w:p w:rsidR="00000000" w:rsidDel="00000000" w:rsidP="00000000" w:rsidRDefault="00000000" w:rsidRPr="00000000" w14:paraId="00000040">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r w:rsidDel="00000000" w:rsidR="00000000" w:rsidRPr="00000000">
        <w:rPr>
          <w:rtl w:val="0"/>
        </w:rPr>
        <w:t xml:space="preserve">.</w:t>
      </w:r>
    </w:p>
    <w:p w:rsidR="00000000" w:rsidDel="00000000" w:rsidP="00000000" w:rsidRDefault="00000000" w:rsidRPr="00000000" w14:paraId="00000041">
      <w:pPr>
        <w:pageBreakBefore w:val="0"/>
        <w:ind w:left="2160" w:firstLine="0"/>
        <w:rPr/>
      </w:pPr>
      <w:r w:rsidDel="00000000" w:rsidR="00000000" w:rsidRPr="00000000">
        <w:rPr>
          <w:rtl w:val="0"/>
        </w:rPr>
      </w:r>
    </w:p>
    <w:p w:rsidR="00000000" w:rsidDel="00000000" w:rsidP="00000000" w:rsidRDefault="00000000" w:rsidRPr="00000000" w14:paraId="00000042">
      <w:pPr>
        <w:pStyle w:val="Heading1"/>
        <w:pageBreakBefore w:val="0"/>
        <w:numPr>
          <w:ilvl w:val="0"/>
          <w:numId w:val="4"/>
        </w:numPr>
        <w:spacing w:after="0" w:afterAutospacing="0"/>
        <w:ind w:left="720" w:hanging="360"/>
        <w:rPr/>
      </w:pPr>
      <w:bookmarkStart w:colFirst="0" w:colLast="0" w:name="_mp26tlhcimox" w:id="9"/>
      <w:bookmarkEnd w:id="9"/>
      <w:r w:rsidDel="00000000" w:rsidR="00000000" w:rsidRPr="00000000">
        <w:rPr>
          <w:rtl w:val="0"/>
        </w:rPr>
        <w:t xml:space="preserve">Match Rules</w:t>
      </w:r>
    </w:p>
    <w:p w:rsidR="00000000" w:rsidDel="00000000" w:rsidP="00000000" w:rsidRDefault="00000000" w:rsidRPr="00000000" w14:paraId="00000043">
      <w:pPr>
        <w:pStyle w:val="Heading2"/>
        <w:pageBreakBefore w:val="0"/>
        <w:numPr>
          <w:ilvl w:val="1"/>
          <w:numId w:val="4"/>
        </w:numPr>
        <w:spacing w:after="0" w:afterAutospacing="0" w:before="0" w:beforeAutospacing="0"/>
        <w:ind w:left="1440" w:hanging="360"/>
        <w:rPr/>
      </w:pPr>
      <w:bookmarkStart w:colFirst="0" w:colLast="0" w:name="_q0g2d7w8rja7" w:id="10"/>
      <w:bookmarkEnd w:id="10"/>
      <w:r w:rsidDel="00000000" w:rsidR="00000000" w:rsidRPr="00000000">
        <w:rPr>
          <w:rtl w:val="0"/>
        </w:rPr>
        <w:t xml:space="preserve">Game setup</w:t>
      </w:r>
    </w:p>
    <w:p w:rsidR="00000000" w:rsidDel="00000000" w:rsidP="00000000" w:rsidRDefault="00000000" w:rsidRPr="00000000" w14:paraId="00000044">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games are to be played on EUW server</w:t>
      </w:r>
    </w:p>
    <w:p w:rsidR="00000000" w:rsidDel="00000000" w:rsidP="00000000" w:rsidRDefault="00000000" w:rsidRPr="00000000" w14:paraId="0000004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player from either team should host the game and invite other players to game using the following settings:</w:t>
      </w:r>
    </w:p>
    <w:p w:rsidR="00000000" w:rsidDel="00000000" w:rsidP="00000000" w:rsidRDefault="00000000" w:rsidRPr="00000000" w14:paraId="00000046">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Game type: Tournament draft</w:t>
      </w:r>
    </w:p>
    <w:p w:rsidR="00000000" w:rsidDel="00000000" w:rsidP="00000000" w:rsidRDefault="00000000" w:rsidRPr="00000000" w14:paraId="00000047">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size: 5</w:t>
      </w:r>
    </w:p>
    <w:p w:rsidR="00000000" w:rsidDel="00000000" w:rsidP="00000000" w:rsidRDefault="00000000" w:rsidRPr="00000000" w14:paraId="00000048">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Spectators: All</w:t>
      </w:r>
    </w:p>
    <w:p w:rsidR="00000000" w:rsidDel="00000000" w:rsidP="00000000" w:rsidRDefault="00000000" w:rsidRPr="00000000" w14:paraId="00000049">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first game of a match the higher seed will have the choice of side. If the match consists of more than one game, the choice of side will alternate with the lower seed having a choice of side in game 2 etc.</w:t>
      </w:r>
    </w:p>
    <w:p w:rsidR="00000000" w:rsidDel="00000000" w:rsidP="00000000" w:rsidRDefault="00000000" w:rsidRPr="00000000" w14:paraId="0000004A">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Once both teams have joined the lobby and stated they are ready the lobby </w:t>
      </w:r>
      <w:r w:rsidDel="00000000" w:rsidR="00000000" w:rsidRPr="00000000">
        <w:rPr>
          <w:rFonts w:ascii="Titillium Web" w:cs="Titillium Web" w:eastAsia="Titillium Web" w:hAnsi="Titillium Web"/>
          <w:rtl w:val="0"/>
        </w:rPr>
        <w:t xml:space="preserve">leader may start champion </w:t>
      </w:r>
      <w:r w:rsidDel="00000000" w:rsidR="00000000" w:rsidRPr="00000000">
        <w:rPr>
          <w:rFonts w:ascii="Titillium Web" w:cs="Titillium Web" w:eastAsia="Titillium Web" w:hAnsi="Titillium Web"/>
          <w:rtl w:val="0"/>
        </w:rPr>
        <w:t xml:space="preserve">select</w:t>
      </w:r>
      <w:r w:rsidDel="00000000" w:rsidR="00000000" w:rsidRPr="00000000">
        <w:rPr>
          <w:rFonts w:ascii="Titillium Web" w:cs="Titillium Web" w:eastAsia="Titillium Web" w:hAnsi="Titillium Web"/>
          <w:rtl w:val="0"/>
        </w:rPr>
        <w:t xml:space="preserve">.</w:t>
      </w:r>
      <w:r w:rsidDel="00000000" w:rsidR="00000000" w:rsidRPr="00000000">
        <w:rPr>
          <w:rtl w:val="0"/>
        </w:rPr>
      </w:r>
    </w:p>
    <w:p w:rsidR="00000000" w:rsidDel="00000000" w:rsidP="00000000" w:rsidRDefault="00000000" w:rsidRPr="00000000" w14:paraId="0000004B">
      <w:pPr>
        <w:pStyle w:val="Heading2"/>
        <w:pageBreakBefore w:val="0"/>
        <w:numPr>
          <w:ilvl w:val="1"/>
          <w:numId w:val="4"/>
        </w:numPr>
        <w:spacing w:after="0" w:afterAutospacing="0" w:before="0" w:beforeAutospacing="0"/>
        <w:ind w:left="1440" w:hanging="360"/>
        <w:rPr/>
      </w:pPr>
      <w:bookmarkStart w:colFirst="0" w:colLast="0" w:name="_670ll77rw5hr" w:id="11"/>
      <w:bookmarkEnd w:id="11"/>
      <w:r w:rsidDel="00000000" w:rsidR="00000000" w:rsidRPr="00000000">
        <w:rPr>
          <w:rtl w:val="0"/>
        </w:rPr>
        <w:t xml:space="preserve">Champ select</w:t>
      </w:r>
    </w:p>
    <w:p w:rsidR="00000000" w:rsidDel="00000000" w:rsidP="00000000" w:rsidRDefault="00000000" w:rsidRPr="00000000" w14:paraId="0000004C">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Newly released champions are not allowed to be picked until they have been available in store for at least 1 week.</w:t>
      </w:r>
    </w:p>
    <w:p w:rsidR="00000000" w:rsidDel="00000000" w:rsidP="00000000" w:rsidRDefault="00000000" w:rsidRPr="00000000" w14:paraId="0000004D">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Champions that have received an official rework are not allowed to be picked until at least one week since rework became live on the server.</w:t>
      </w:r>
    </w:p>
    <w:p w:rsidR="00000000" w:rsidDel="00000000" w:rsidP="00000000" w:rsidRDefault="00000000" w:rsidRPr="00000000" w14:paraId="0000004E">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Champions who have received significant changes may be banned for a week if the NSE admin team deems the changes will make a significant effect on gameplay.</w:t>
      </w:r>
    </w:p>
    <w:p w:rsidR="00000000" w:rsidDel="00000000" w:rsidP="00000000" w:rsidRDefault="00000000" w:rsidRPr="00000000" w14:paraId="0000004F">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Champions may be banned from use if NSE staff believes there is a known issue with a champion likely to affect the competitive integrity of games.</w:t>
      </w:r>
    </w:p>
    <w:p w:rsidR="00000000" w:rsidDel="00000000" w:rsidP="00000000" w:rsidRDefault="00000000" w:rsidRPr="00000000" w14:paraId="00000050">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use “proxy picks” to select champions they do not own for teammates. If a player wishes to pick for a champion they do not own for teammate they should</w:t>
      </w:r>
    </w:p>
    <w:p w:rsidR="00000000" w:rsidDel="00000000" w:rsidP="00000000" w:rsidRDefault="00000000" w:rsidRPr="00000000" w14:paraId="00000051">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Hover a placeholder champion which is unlikely to be played by either team. </w:t>
      </w:r>
    </w:p>
    <w:p w:rsidR="00000000" w:rsidDel="00000000" w:rsidP="00000000" w:rsidRDefault="00000000" w:rsidRPr="00000000" w14:paraId="00000052">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Message the other team to inform them of the champion they wish to pick.</w:t>
      </w:r>
    </w:p>
    <w:p w:rsidR="00000000" w:rsidDel="00000000" w:rsidP="00000000" w:rsidRDefault="00000000" w:rsidRPr="00000000" w14:paraId="00000053">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Wait for the proxy pick to be acknowledged. If the other team does not acknowledge the proxy pick teams should return to the lobby.</w:t>
      </w:r>
    </w:p>
    <w:p w:rsidR="00000000" w:rsidDel="00000000" w:rsidP="00000000" w:rsidRDefault="00000000" w:rsidRPr="00000000" w14:paraId="00000054">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Lock in placeholder Champion.</w:t>
      </w:r>
    </w:p>
    <w:p w:rsidR="00000000" w:rsidDel="00000000" w:rsidP="00000000" w:rsidRDefault="00000000" w:rsidRPr="00000000" w14:paraId="00000055">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Once pick ban is completed players should return to lobby and restart pick ban with players selecting the same champions as in previous lobby with exception of now selecting the placeholder champion instead selecting the champion they will actually be playing.</w:t>
      </w:r>
    </w:p>
    <w:p w:rsidR="00000000" w:rsidDel="00000000" w:rsidP="00000000" w:rsidRDefault="00000000" w:rsidRPr="00000000" w14:paraId="00000056">
      <w:pPr>
        <w:pStyle w:val="Heading2"/>
        <w:pageBreakBefore w:val="0"/>
        <w:numPr>
          <w:ilvl w:val="1"/>
          <w:numId w:val="4"/>
        </w:numPr>
        <w:spacing w:after="0" w:afterAutospacing="0" w:before="0" w:beforeAutospacing="0"/>
        <w:ind w:left="1440" w:hanging="360"/>
        <w:rPr/>
      </w:pPr>
      <w:bookmarkStart w:colFirst="0" w:colLast="0" w:name="_of5e6becxy32" w:id="12"/>
      <w:bookmarkEnd w:id="12"/>
      <w:r w:rsidDel="00000000" w:rsidR="00000000" w:rsidRPr="00000000">
        <w:rPr>
          <w:rtl w:val="0"/>
        </w:rPr>
        <w:t xml:space="preserve">Pauses</w:t>
      </w:r>
    </w:p>
    <w:p w:rsidR="00000000" w:rsidDel="00000000" w:rsidP="00000000" w:rsidRDefault="00000000" w:rsidRPr="00000000" w14:paraId="00000057">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use the /pause command to pause to resolve technical or rules issues.</w:t>
      </w:r>
    </w:p>
    <w:p w:rsidR="00000000" w:rsidDel="00000000" w:rsidP="00000000" w:rsidRDefault="00000000" w:rsidRPr="00000000" w14:paraId="00000058">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Pauses may not be used for tactical reasons</w:t>
        <w:tab/>
      </w:r>
      <w:r w:rsidDel="00000000" w:rsidR="00000000" w:rsidRPr="00000000">
        <w:rPr>
          <w:rtl w:val="0"/>
        </w:rPr>
      </w:r>
    </w:p>
    <w:p w:rsidR="00000000" w:rsidDel="00000000" w:rsidP="00000000" w:rsidRDefault="00000000" w:rsidRPr="00000000" w14:paraId="00000059">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may pause the game for a total of 15 minutes. If a technical issue cannot be resolved at this time the game should be resumed.</w:t>
      </w:r>
    </w:p>
    <w:p w:rsidR="00000000" w:rsidDel="00000000" w:rsidP="00000000" w:rsidRDefault="00000000" w:rsidRPr="00000000" w14:paraId="0000005A">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Once a game is paused the team that  initiated should make the other team aware of the reason for the pause and an estimated length of pause.</w:t>
      </w:r>
    </w:p>
    <w:p w:rsidR="00000000" w:rsidDel="00000000" w:rsidP="00000000" w:rsidRDefault="00000000" w:rsidRPr="00000000" w14:paraId="0000005B">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Before unpausing a paused game both teams should indicate they are ready to continue.</w:t>
      </w:r>
    </w:p>
    <w:p w:rsidR="00000000" w:rsidDel="00000000" w:rsidP="00000000" w:rsidRDefault="00000000" w:rsidRPr="00000000" w14:paraId="0000005C">
      <w:pPr>
        <w:pStyle w:val="Heading2"/>
        <w:pageBreakBefore w:val="0"/>
        <w:numPr>
          <w:ilvl w:val="1"/>
          <w:numId w:val="4"/>
        </w:numPr>
        <w:spacing w:after="0" w:afterAutospacing="0" w:before="0" w:beforeAutospacing="0"/>
        <w:ind w:left="1440" w:hanging="360"/>
        <w:rPr/>
      </w:pPr>
      <w:bookmarkStart w:colFirst="0" w:colLast="0" w:name="_mhm8i5u6b4x7" w:id="13"/>
      <w:bookmarkEnd w:id="13"/>
      <w:r w:rsidDel="00000000" w:rsidR="00000000" w:rsidRPr="00000000">
        <w:rPr>
          <w:rtl w:val="0"/>
        </w:rPr>
        <w:t xml:space="preserve">Remakes</w:t>
      </w:r>
    </w:p>
    <w:p w:rsidR="00000000" w:rsidDel="00000000" w:rsidP="00000000" w:rsidRDefault="00000000" w:rsidRPr="00000000" w14:paraId="0000005D">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During the first 90 seconds of a game if no players have been damaged by another player. Players may pause and ask for a remake for following reasons if</w:t>
      </w:r>
    </w:p>
    <w:p w:rsidR="00000000" w:rsidDel="00000000" w:rsidP="00000000" w:rsidRDefault="00000000" w:rsidRPr="00000000" w14:paraId="0000005E">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technical issue occurs resulting in players being unable to select the correct runes</w:t>
      </w:r>
    </w:p>
    <w:p w:rsidR="00000000" w:rsidDel="00000000" w:rsidP="00000000" w:rsidRDefault="00000000" w:rsidRPr="00000000" w14:paraId="0000005F">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technical issue occurs resulting in players being unable to swap champions</w:t>
      </w:r>
    </w:p>
    <w:p w:rsidR="00000000" w:rsidDel="00000000" w:rsidP="00000000" w:rsidRDefault="00000000" w:rsidRPr="00000000" w14:paraId="00000060">
      <w:pPr>
        <w:pageBreakBefore w:val="0"/>
        <w:numPr>
          <w:ilvl w:val="3"/>
          <w:numId w:val="4"/>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player fails to connect to the game.</w:t>
      </w:r>
    </w:p>
    <w:p w:rsidR="00000000" w:rsidDel="00000000" w:rsidP="00000000" w:rsidRDefault="00000000" w:rsidRPr="00000000" w14:paraId="00000061">
      <w:pPr>
        <w:pageBreakBefore w:val="0"/>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game is remade for reasons above it should be with the same setting, champion picks , summoner spells and runes other than the technical issue being resolved.</w:t>
      </w:r>
    </w:p>
    <w:p w:rsidR="00000000" w:rsidDel="00000000" w:rsidP="00000000" w:rsidRDefault="00000000" w:rsidRPr="00000000" w14:paraId="00000062">
      <w:pPr>
        <w:pageBreakBefore w:val="0"/>
        <w:numPr>
          <w:ilvl w:val="2"/>
          <w:numId w:val="4"/>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of a bug in game NSE admin team should be contacted. If the NSE admin team decides the bug will affect the competitive integrity of the game they may decide to remake the game. The NSE admin team will also decide whether the remake game uses the same pick/ban or new pick/ban based on state of game at the time of bug occuring.</w:t>
      </w:r>
    </w:p>
    <w:p w:rsidR="00000000" w:rsidDel="00000000" w:rsidP="00000000" w:rsidRDefault="00000000" w:rsidRPr="00000000" w14:paraId="00000063">
      <w:pPr>
        <w:pStyle w:val="Heading2"/>
        <w:pageBreakBefore w:val="0"/>
        <w:numPr>
          <w:ilvl w:val="1"/>
          <w:numId w:val="4"/>
        </w:numPr>
        <w:spacing w:after="0" w:afterAutospacing="0" w:before="0" w:lineRule="auto"/>
        <w:ind w:left="1440" w:hanging="360"/>
        <w:rPr/>
      </w:pPr>
      <w:bookmarkStart w:colFirst="0" w:colLast="0" w:name="_umkty0vq1z83" w:id="14"/>
      <w:bookmarkEnd w:id="14"/>
      <w:r w:rsidDel="00000000" w:rsidR="00000000" w:rsidRPr="00000000">
        <w:rPr>
          <w:rtl w:val="0"/>
        </w:rPr>
        <w:t xml:space="preserve">No shows</w:t>
      </w:r>
    </w:p>
    <w:p w:rsidR="00000000" w:rsidDel="00000000" w:rsidP="00000000" w:rsidRDefault="00000000" w:rsidRPr="00000000" w14:paraId="00000064">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to all games</w:t>
      </w:r>
    </w:p>
    <w:p w:rsidR="00000000" w:rsidDel="00000000" w:rsidP="00000000" w:rsidRDefault="00000000" w:rsidRPr="00000000" w14:paraId="00000065">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5 players should be in the lobby within 20 minutes of the scheduled start time or within 20 minutes of the previous round ending whichever is latest.</w:t>
      </w:r>
    </w:p>
    <w:p w:rsidR="00000000" w:rsidDel="00000000" w:rsidP="00000000" w:rsidRDefault="00000000" w:rsidRPr="00000000" w14:paraId="00000066">
      <w:pPr>
        <w:pStyle w:val="Heading2"/>
        <w:pageBreakBefore w:val="0"/>
        <w:numPr>
          <w:ilvl w:val="1"/>
          <w:numId w:val="4"/>
        </w:numPr>
        <w:spacing w:after="0" w:afterAutospacing="0" w:before="0" w:beforeAutospacing="0"/>
        <w:ind w:left="1440" w:hanging="360"/>
        <w:rPr/>
      </w:pPr>
      <w:bookmarkStart w:colFirst="0" w:colLast="0" w:name="_bufdqvbk39j8" w:id="15"/>
      <w:bookmarkEnd w:id="15"/>
      <w:r w:rsidDel="00000000" w:rsidR="00000000" w:rsidRPr="00000000">
        <w:rPr>
          <w:rtl w:val="0"/>
        </w:rPr>
        <w:t xml:space="preserve">Submitting Results</w:t>
      </w:r>
    </w:p>
    <w:p w:rsidR="00000000" w:rsidDel="00000000" w:rsidP="00000000" w:rsidRDefault="00000000" w:rsidRPr="00000000" w14:paraId="00000067">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are required to submit results after game ends</w:t>
      </w:r>
    </w:p>
    <w:p w:rsidR="00000000" w:rsidDel="00000000" w:rsidP="00000000" w:rsidRDefault="00000000" w:rsidRPr="00000000" w14:paraId="00000068">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neither team submits a result and teams cannot be contacted the higher seed will be awarded the victory. </w:t>
      </w:r>
    </w:p>
    <w:p w:rsidR="00000000" w:rsidDel="00000000" w:rsidP="00000000" w:rsidRDefault="00000000" w:rsidRPr="00000000" w14:paraId="00000069">
      <w:pPr>
        <w:pageBreakBefore w:val="0"/>
        <w:ind w:left="2160" w:firstLine="0"/>
        <w:rPr/>
      </w:pPr>
      <w:r w:rsidDel="00000000" w:rsidR="00000000" w:rsidRPr="00000000">
        <w:rPr>
          <w:rtl w:val="0"/>
        </w:rPr>
      </w:r>
    </w:p>
    <w:p w:rsidR="00000000" w:rsidDel="00000000" w:rsidP="00000000" w:rsidRDefault="00000000" w:rsidRPr="00000000" w14:paraId="0000006A">
      <w:pPr>
        <w:pStyle w:val="Heading1"/>
        <w:pageBreakBefore w:val="0"/>
        <w:numPr>
          <w:ilvl w:val="0"/>
          <w:numId w:val="4"/>
        </w:numPr>
        <w:spacing w:after="0" w:afterAutospacing="0"/>
        <w:ind w:left="720" w:hanging="360"/>
        <w:rPr/>
      </w:pPr>
      <w:bookmarkStart w:colFirst="0" w:colLast="0" w:name="_ualntuhv4kri" w:id="16"/>
      <w:bookmarkEnd w:id="16"/>
      <w:r w:rsidDel="00000000" w:rsidR="00000000" w:rsidRPr="00000000">
        <w:rPr>
          <w:rtl w:val="0"/>
        </w:rPr>
        <w:t xml:space="preserve">Spectator Rules</w:t>
      </w:r>
    </w:p>
    <w:p w:rsidR="00000000" w:rsidDel="00000000" w:rsidP="00000000" w:rsidRDefault="00000000" w:rsidRPr="00000000" w14:paraId="0000006B">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reserves the right to cast any game played as part of the tournaments..</w:t>
      </w:r>
    </w:p>
    <w:p w:rsidR="00000000" w:rsidDel="00000000" w:rsidP="00000000" w:rsidRDefault="00000000" w:rsidRPr="00000000" w14:paraId="0000006C">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may choose to feature a game. Featured games are subject to the following restrictions:</w:t>
      </w:r>
    </w:p>
    <w:p w:rsidR="00000000" w:rsidDel="00000000" w:rsidP="00000000" w:rsidRDefault="00000000" w:rsidRPr="00000000" w14:paraId="0000006D">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Staff must be given access to pregame lobbies.</w:t>
      </w:r>
    </w:p>
    <w:p w:rsidR="00000000" w:rsidDel="00000000" w:rsidP="00000000" w:rsidRDefault="00000000" w:rsidRPr="00000000" w14:paraId="0000006E">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must wait until casters indicate they are ready before starting a game.</w:t>
      </w:r>
    </w:p>
    <w:p w:rsidR="00000000" w:rsidDel="00000000" w:rsidP="00000000" w:rsidRDefault="00000000" w:rsidRPr="00000000" w14:paraId="0000006F">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are required to order in “LCS order” with players on teams joining in following order: Top, Jungle, Mid, AD carry and support.</w:t>
      </w:r>
    </w:p>
    <w:p w:rsidR="00000000" w:rsidDel="00000000" w:rsidP="00000000" w:rsidRDefault="00000000" w:rsidRPr="00000000" w14:paraId="00000070">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71">
      <w:pPr>
        <w:pageBreakBefore w:val="0"/>
        <w:numPr>
          <w:ilvl w:val="4"/>
          <w:numId w:val="4"/>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any third parties.</w:t>
      </w:r>
    </w:p>
    <w:p w:rsidR="00000000" w:rsidDel="00000000" w:rsidP="00000000" w:rsidRDefault="00000000" w:rsidRPr="00000000" w14:paraId="00000072">
      <w:pPr>
        <w:pageBreakBefore w:val="0"/>
        <w:numPr>
          <w:ilvl w:val="4"/>
          <w:numId w:val="4"/>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players in game.</w:t>
      </w:r>
    </w:p>
    <w:p w:rsidR="00000000" w:rsidDel="00000000" w:rsidP="00000000" w:rsidRDefault="00000000" w:rsidRPr="00000000" w14:paraId="00000073">
      <w:pPr>
        <w:pageBreakBefore w:val="0"/>
        <w:numPr>
          <w:ilvl w:val="2"/>
          <w:numId w:val="4"/>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games</w:t>
      </w:r>
    </w:p>
    <w:p w:rsidR="00000000" w:rsidDel="00000000" w:rsidP="00000000" w:rsidRDefault="00000000" w:rsidRPr="00000000" w14:paraId="00000074">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For non-featured matches students may stream their own games from their own player’s perspective without delay.</w:t>
      </w:r>
    </w:p>
    <w:p w:rsidR="00000000" w:rsidDel="00000000" w:rsidP="00000000" w:rsidRDefault="00000000" w:rsidRPr="00000000" w14:paraId="00000075">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spacing w:after="0" w:afterAutospacing="0" w:before="0" w:line="276" w:lineRule="auto"/>
        <w:ind w:left="3600" w:right="0" w:hanging="360"/>
        <w:jc w:val="left"/>
        <w:rPr>
          <w:u w:val="none"/>
        </w:rPr>
      </w:pPr>
      <w:r w:rsidDel="00000000" w:rsidR="00000000" w:rsidRPr="00000000">
        <w:rPr>
          <w:rtl w:val="0"/>
        </w:rPr>
        <w:t xml:space="preserve">Players are solely responsible for any negative effects that occur in game due to streaming without delay.</w:t>
      </w:r>
    </w:p>
    <w:p w:rsidR="00000000" w:rsidDel="00000000" w:rsidP="00000000" w:rsidRDefault="00000000" w:rsidRPr="00000000" w14:paraId="00000076">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Third parties (anyone not currently playing in game) may stream games with a delay.</w:t>
      </w:r>
    </w:p>
    <w:p w:rsidR="00000000" w:rsidDel="00000000" w:rsidP="00000000" w:rsidRDefault="00000000" w:rsidRPr="00000000" w14:paraId="00000077">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agree to allow a third party stream game without delay. </w:t>
      </w:r>
    </w:p>
    <w:p w:rsidR="00000000" w:rsidDel="00000000" w:rsidP="00000000" w:rsidRDefault="00000000" w:rsidRPr="00000000" w14:paraId="00000078">
      <w:pPr>
        <w:numPr>
          <w:ilvl w:val="4"/>
          <w:numId w:val="4"/>
        </w:numPr>
        <w:spacing w:after="0" w:afterAutospacing="0" w:before="0" w:beforeAutospacing="0"/>
        <w:ind w:left="3600" w:hanging="360"/>
        <w:rPr/>
      </w:pPr>
      <w:r w:rsidDel="00000000" w:rsidR="00000000" w:rsidRPr="00000000">
        <w:rPr>
          <w:rtl w:val="0"/>
        </w:rPr>
        <w:t xml:space="preserve">Teams are solely responsible for any negative effects that occur in game due to agreeing to a third party stream without delay.</w:t>
      </w:r>
    </w:p>
    <w:p w:rsidR="00000000" w:rsidDel="00000000" w:rsidP="00000000" w:rsidRDefault="00000000" w:rsidRPr="00000000" w14:paraId="00000079">
      <w:pPr>
        <w:pageBreakBefore w:val="0"/>
        <w:numPr>
          <w:ilvl w:val="3"/>
          <w:numId w:val="4"/>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Third parties may not spectate in game pregame lobby unless permission is granted by both teams. </w:t>
      </w:r>
    </w:p>
    <w:p w:rsidR="00000000" w:rsidDel="00000000" w:rsidP="00000000" w:rsidRDefault="00000000" w:rsidRPr="00000000" w14:paraId="0000007A">
      <w:pPr>
        <w:pageBreakBefore w:val="0"/>
        <w:ind w:left="0" w:firstLine="0"/>
        <w:rPr/>
      </w:pPr>
      <w:r w:rsidDel="00000000" w:rsidR="00000000" w:rsidRPr="00000000">
        <w:rPr>
          <w:rtl w:val="0"/>
        </w:rPr>
      </w:r>
    </w:p>
    <w:p w:rsidR="00000000" w:rsidDel="00000000" w:rsidP="00000000" w:rsidRDefault="00000000" w:rsidRPr="00000000" w14:paraId="0000007B">
      <w:pPr>
        <w:pStyle w:val="Heading1"/>
        <w:pageBreakBefore w:val="0"/>
        <w:numPr>
          <w:ilvl w:val="0"/>
          <w:numId w:val="4"/>
        </w:numPr>
        <w:spacing w:after="0" w:afterAutospacing="0"/>
        <w:ind w:left="720" w:hanging="360"/>
        <w:rPr/>
      </w:pPr>
      <w:bookmarkStart w:colFirst="0" w:colLast="0" w:name="_5468de1iuc9p" w:id="17"/>
      <w:bookmarkEnd w:id="17"/>
      <w:r w:rsidDel="00000000" w:rsidR="00000000" w:rsidRPr="00000000">
        <w:rPr>
          <w:rtl w:val="0"/>
        </w:rPr>
        <w:t xml:space="preserve">Sportsmanship</w:t>
      </w:r>
    </w:p>
    <w:p w:rsidR="00000000" w:rsidDel="00000000" w:rsidP="00000000" w:rsidRDefault="00000000" w:rsidRPr="00000000" w14:paraId="0000007C">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are expected to uphold the principles of sportsmanship and fair play at all times during a tournament. Students who do not conform to these principles will be penalised. Additionally, it is a captain's responsibility to ensure their team behaves in a sporting manner.</w:t>
      </w:r>
    </w:p>
    <w:p w:rsidR="00000000" w:rsidDel="00000000" w:rsidP="00000000" w:rsidRDefault="00000000" w:rsidRPr="00000000" w14:paraId="0000007D">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7E">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w:t>
      </w:r>
    </w:p>
    <w:p w:rsidR="00000000" w:rsidDel="00000000" w:rsidP="00000000" w:rsidRDefault="00000000" w:rsidRPr="00000000" w14:paraId="0000007F">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bugs to gain an advantage.</w:t>
      </w:r>
    </w:p>
    <w:p w:rsidR="00000000" w:rsidDel="00000000" w:rsidP="00000000" w:rsidRDefault="00000000" w:rsidRPr="00000000" w14:paraId="00000080">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81">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82">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83">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84">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85">
      <w:pPr>
        <w:pageBreakBefore w:val="0"/>
        <w:numPr>
          <w:ilvl w:val="3"/>
          <w:numId w:val="4"/>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86">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Illegal pause, use of pause for any reason not specified in Section 2 of this document titled “Match rules”.</w:t>
      </w:r>
    </w:p>
    <w:p w:rsidR="00000000" w:rsidDel="00000000" w:rsidP="00000000" w:rsidRDefault="00000000" w:rsidRPr="00000000" w14:paraId="00000087">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tl w:val="0"/>
        </w:rPr>
        <w:t xml:space="preserve">Players must uphold the NSE Code of Conduct whilst competing in, and around, NSE Winter.</w:t>
      </w:r>
    </w:p>
    <w:p w:rsidR="00000000" w:rsidDel="00000000" w:rsidP="00000000" w:rsidRDefault="00000000" w:rsidRPr="00000000" w14:paraId="00000088">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89">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game lobbies or in game .</w:t>
      </w:r>
    </w:p>
    <w:p w:rsidR="00000000" w:rsidDel="00000000" w:rsidP="00000000" w:rsidRDefault="00000000" w:rsidRPr="00000000" w14:paraId="0000008A">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8B">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8C">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8D">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r w:rsidDel="00000000" w:rsidR="00000000" w:rsidRPr="00000000">
        <w:rPr>
          <w:rtl w:val="0"/>
        </w:rPr>
      </w:r>
    </w:p>
    <w:p w:rsidR="00000000" w:rsidDel="00000000" w:rsidP="00000000" w:rsidRDefault="00000000" w:rsidRPr="00000000" w14:paraId="0000008E">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Loss of one or more ban in future games</w:t>
      </w:r>
      <w:r w:rsidDel="00000000" w:rsidR="00000000" w:rsidRPr="00000000">
        <w:rPr>
          <w:rtl w:val="0"/>
        </w:rPr>
      </w:r>
    </w:p>
    <w:p w:rsidR="00000000" w:rsidDel="00000000" w:rsidP="00000000" w:rsidRDefault="00000000" w:rsidRPr="00000000" w14:paraId="0000008F">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90">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game/map</w:t>
      </w:r>
    </w:p>
    <w:p w:rsidR="00000000" w:rsidDel="00000000" w:rsidP="00000000" w:rsidRDefault="00000000" w:rsidRPr="00000000" w14:paraId="00000091">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92">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93">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94">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earnt or qualification spots</w:t>
      </w:r>
    </w:p>
    <w:p w:rsidR="00000000" w:rsidDel="00000000" w:rsidP="00000000" w:rsidRDefault="00000000" w:rsidRPr="00000000" w14:paraId="00000095">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96">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97">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NSE </w:t>
      </w:r>
      <w:r w:rsidDel="00000000" w:rsidR="00000000" w:rsidRPr="00000000">
        <w:rPr>
          <w:rtl w:val="0"/>
        </w:rPr>
        <w:t xml:space="preserve">Winter</w:t>
      </w:r>
      <w:r w:rsidDel="00000000" w:rsidR="00000000" w:rsidRPr="00000000">
        <w:rPr>
          <w:rtl w:val="0"/>
        </w:rPr>
      </w:r>
    </w:p>
    <w:p w:rsidR="00000000" w:rsidDel="00000000" w:rsidP="00000000" w:rsidRDefault="00000000" w:rsidRPr="00000000" w14:paraId="00000098">
      <w:pPr>
        <w:pageBreakBefore w:val="0"/>
        <w:numPr>
          <w:ilvl w:val="2"/>
          <w:numId w:val="4"/>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p>
    <w:p w:rsidR="00000000" w:rsidDel="00000000" w:rsidP="00000000" w:rsidRDefault="00000000" w:rsidRPr="00000000" w14:paraId="00000099">
      <w:pPr>
        <w:pStyle w:val="Heading1"/>
        <w:pageBreakBefore w:val="0"/>
        <w:numPr>
          <w:ilvl w:val="0"/>
          <w:numId w:val="4"/>
        </w:numPr>
        <w:spacing w:after="0" w:afterAutospacing="0" w:before="0" w:beforeAutospacing="0"/>
        <w:ind w:left="720" w:hanging="360"/>
        <w:rPr/>
      </w:pPr>
      <w:bookmarkStart w:colFirst="0" w:colLast="0" w:name="_d4bu16vn7ubf" w:id="18"/>
      <w:bookmarkEnd w:id="18"/>
      <w:r w:rsidDel="00000000" w:rsidR="00000000" w:rsidRPr="00000000">
        <w:rPr>
          <w:rtl w:val="0"/>
        </w:rPr>
        <w:t xml:space="preserve">Live Event Rules</w:t>
      </w:r>
      <w:r w:rsidDel="00000000" w:rsidR="00000000" w:rsidRPr="00000000">
        <w:rPr>
          <w:rtl w:val="0"/>
        </w:rPr>
        <w:tab/>
      </w:r>
    </w:p>
    <w:p w:rsidR="00000000" w:rsidDel="00000000" w:rsidP="00000000" w:rsidRDefault="00000000" w:rsidRPr="00000000" w14:paraId="0000009A">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9B">
      <w:pPr>
        <w:pageBreakBefore w:val="0"/>
        <w:numPr>
          <w:ilvl w:val="0"/>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w:t>
      </w:r>
      <w:r w:rsidDel="00000000" w:rsidR="00000000" w:rsidRPr="00000000">
        <w:rPr>
          <w:rFonts w:ascii="Titillium Web" w:cs="Titillium Web" w:eastAsia="Titillium Web" w:hAnsi="Titillium Web"/>
          <w:rtl w:val="0"/>
        </w:rPr>
        <w:t xml:space="preserve">djusted late and no show penalties</w:t>
      </w:r>
    </w:p>
    <w:p w:rsidR="00000000" w:rsidDel="00000000" w:rsidP="00000000" w:rsidRDefault="00000000" w:rsidRPr="00000000" w14:paraId="0000009C">
      <w:pPr>
        <w:pageBreakBefore w:val="0"/>
        <w:numPr>
          <w:ilvl w:val="0"/>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9D">
      <w:pPr>
        <w:pageBreakBefore w:val="0"/>
        <w:numPr>
          <w:ilvl w:val="0"/>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9E">
      <w:pPr>
        <w:pageBreakBefore w:val="0"/>
        <w:numPr>
          <w:ilvl w:val="0"/>
          <w:numId w:val="5"/>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team is unable to attend Live final their spot will be forfeited and 3rd place team will instead take their place</w:t>
      </w:r>
    </w:p>
    <w:p w:rsidR="00000000" w:rsidDel="00000000" w:rsidP="00000000" w:rsidRDefault="00000000" w:rsidRPr="00000000" w14:paraId="000000A0">
      <w:pPr>
        <w:pStyle w:val="Heading1"/>
        <w:pageBreakBefore w:val="0"/>
        <w:numPr>
          <w:ilvl w:val="0"/>
          <w:numId w:val="4"/>
        </w:numPr>
        <w:spacing w:after="0" w:afterAutospacing="0" w:before="0" w:beforeAutospacing="0"/>
        <w:ind w:left="720" w:hanging="360"/>
        <w:rPr/>
      </w:pPr>
      <w:bookmarkStart w:colFirst="0" w:colLast="0" w:name="_5jln522u2n2a" w:id="19"/>
      <w:bookmarkEnd w:id="19"/>
      <w:r w:rsidDel="00000000" w:rsidR="00000000" w:rsidRPr="00000000">
        <w:rPr>
          <w:rtl w:val="0"/>
        </w:rPr>
        <w:t xml:space="preserve">Prizes</w:t>
      </w:r>
    </w:p>
    <w:p w:rsidR="00000000" w:rsidDel="00000000" w:rsidP="00000000" w:rsidRDefault="00000000" w:rsidRPr="00000000" w14:paraId="000000A1">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the captain's responsibility to distribute the prizes among their team. In the event the listed captain is unable to fulfill this role, a member of the respective team should contact NSE staff.</w:t>
      </w:r>
    </w:p>
    <w:p w:rsidR="00000000" w:rsidDel="00000000" w:rsidP="00000000" w:rsidRDefault="00000000" w:rsidRPr="00000000" w14:paraId="000000A2">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A3">
      <w:pPr>
        <w:pStyle w:val="Heading1"/>
        <w:pageBreakBefore w:val="0"/>
        <w:numPr>
          <w:ilvl w:val="0"/>
          <w:numId w:val="4"/>
        </w:numPr>
        <w:spacing w:after="0" w:afterAutospacing="0" w:before="0" w:beforeAutospacing="0"/>
        <w:ind w:left="720" w:hanging="360"/>
        <w:rPr/>
      </w:pPr>
      <w:bookmarkStart w:colFirst="0" w:colLast="0" w:name="_o23acrsur5lb" w:id="20"/>
      <w:bookmarkEnd w:id="20"/>
      <w:r w:rsidDel="00000000" w:rsidR="00000000" w:rsidRPr="00000000">
        <w:rPr>
          <w:rtl w:val="0"/>
        </w:rPr>
        <w:t xml:space="preserve">Enforcement of Rules</w:t>
      </w:r>
    </w:p>
    <w:p w:rsidR="00000000" w:rsidDel="00000000" w:rsidP="00000000" w:rsidRDefault="00000000" w:rsidRPr="00000000" w14:paraId="000000A4">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p>
    <w:p w:rsidR="00000000" w:rsidDel="00000000" w:rsidP="00000000" w:rsidRDefault="00000000" w:rsidRPr="00000000" w14:paraId="000000A5">
      <w:pPr>
        <w:pageBreakBefore w:val="0"/>
        <w:numPr>
          <w:ilvl w:val="1"/>
          <w:numId w:val="4"/>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are at the sole discretion of the NSE Admin Team, whose decisions are final. </w:t>
      </w:r>
    </w:p>
    <w:p w:rsidR="00000000" w:rsidDel="00000000" w:rsidP="00000000" w:rsidRDefault="00000000" w:rsidRPr="00000000" w14:paraId="000000A6">
      <w:pPr>
        <w:pageBreakBefore w:val="0"/>
        <w:numPr>
          <w:ilvl w:val="1"/>
          <w:numId w:val="4"/>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p>
    <w:p w:rsidR="00000000" w:rsidDel="00000000" w:rsidP="00000000" w:rsidRDefault="00000000" w:rsidRPr="00000000" w14:paraId="000000A7">
      <w:pPr>
        <w:pageBreakBefore w:val="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A8">
      <w:pPr>
        <w:pStyle w:val="Heading1"/>
        <w:pageBreakBefore w:val="0"/>
        <w:ind w:left="0" w:firstLine="0"/>
        <w:rPr/>
      </w:pPr>
      <w:bookmarkStart w:colFirst="0" w:colLast="0" w:name="_i9cvgiu7i9i5" w:id="21"/>
      <w:bookmarkEnd w:id="21"/>
      <w:r w:rsidDel="00000000" w:rsidR="00000000" w:rsidRPr="00000000">
        <w:rPr>
          <w:rtl w:val="0"/>
        </w:rPr>
        <w:t xml:space="preserve">Appendix A Playing Entities </w:t>
      </w:r>
    </w:p>
    <w:p w:rsidR="00000000" w:rsidDel="00000000" w:rsidP="00000000" w:rsidRDefault="00000000" w:rsidRPr="00000000" w14:paraId="000000A9">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p>
    <w:p w:rsidR="00000000" w:rsidDel="00000000" w:rsidP="00000000" w:rsidRDefault="00000000" w:rsidRPr="00000000" w14:paraId="000000AA">
      <w:pPr>
        <w:pageBreakBefore w:val="0"/>
        <w:spacing w:before="0" w:lineRule="auto"/>
        <w:rPr>
          <w:color w:val="000000"/>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AB">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AC">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AD">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AE">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AF">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B0">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B1">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B2">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B3">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B4">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B5">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B6">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B7">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B8">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B9">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BA">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BB">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BC">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BD">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BE">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BF">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C0">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C1">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C2">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C3">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C4">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C5">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C6">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C7">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C8">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C9">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CA">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CB">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CC">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CD">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CE">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CF">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D0">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D1">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0D2">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0D3">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0D4">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0D5">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0D6">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0D7">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0D8">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44">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45">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46">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47">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48">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49">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4A">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4B">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4C">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4D">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4E">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4F">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50">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51">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52">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53">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54">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55">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56">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57">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58">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59">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5A">
      <w:pPr>
        <w:spacing w:before="0" w:lineRule="auto"/>
        <w:rPr>
          <w:color w:val="323737"/>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color w:val="323737"/>
          <w:rtl w:val="0"/>
        </w:rPr>
        <w:t xml:space="preserve">York St John University</w:t>
      </w:r>
    </w:p>
    <w:p w:rsidR="00000000" w:rsidDel="00000000" w:rsidP="00000000" w:rsidRDefault="00000000" w:rsidRPr="00000000" w14:paraId="0000015B">
      <w:pPr>
        <w:pageBreakBefore w:val="0"/>
        <w:spacing w:before="0" w:lineRule="auto"/>
        <w:rPr>
          <w:color w:val="000000"/>
        </w:rPr>
        <w:sectPr>
          <w:type w:val="continuous"/>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15C">
      <w:pPr>
        <w:pageBreakBefore w:val="0"/>
        <w:spacing w:before="0" w:lineRule="auto"/>
        <w:rPr>
          <w:color w:val="000000"/>
        </w:rPr>
      </w:pPr>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color w:val="424242"/>
        <w:u w:val="none"/>
      </w:rPr>
    </w:lvl>
    <w:lvl w:ilvl="4">
      <w:start w:val="1"/>
      <w:numFmt w:val="decimal"/>
      <w:lvlText w:val="%1.%2.%3.%4.%5."/>
      <w:lvlJc w:val="right"/>
      <w:pPr>
        <w:ind w:left="3600" w:hanging="360"/>
      </w:pPr>
      <w:rPr>
        <w:color w:val="424242"/>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720" w:hanging="360"/>
    </w:pPr>
    <w:rPr>
      <w:rFonts w:ascii="Titillium Web SemiBold" w:cs="Titillium Web SemiBold" w:eastAsia="Titillium Web SemiBold" w:hAnsi="Titillium Web SemiBold"/>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color w:val="424242"/>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se.gg" TargetMode="Externa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